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36" w:rsidRPr="00876D85" w:rsidRDefault="00D57D36" w:rsidP="00D57D36">
      <w:pPr>
        <w:rPr>
          <w:rFonts w:ascii="黑体" w:eastAsia="黑体" w:hAnsi="黑体" w:cs="宋体"/>
          <w:b/>
          <w:color w:val="000000"/>
          <w:kern w:val="0"/>
          <w:sz w:val="44"/>
          <w:szCs w:val="44"/>
        </w:rPr>
      </w:pPr>
    </w:p>
    <w:p w:rsidR="00D57D36" w:rsidRPr="00876D85" w:rsidRDefault="00D57D36" w:rsidP="00D57D36">
      <w:pPr>
        <w:rPr>
          <w:rFonts w:ascii="黑体" w:eastAsia="黑体" w:hAnsi="黑体" w:cs="宋体"/>
          <w:b/>
          <w:color w:val="000000"/>
          <w:kern w:val="0"/>
          <w:sz w:val="44"/>
          <w:szCs w:val="44"/>
        </w:rPr>
      </w:pPr>
    </w:p>
    <w:p w:rsidR="00D57D36" w:rsidRPr="00126350" w:rsidRDefault="00D57D36" w:rsidP="00D57D36">
      <w:pPr>
        <w:pStyle w:val="1"/>
        <w:spacing w:before="0" w:after="0" w:line="240" w:lineRule="auto"/>
        <w:jc w:val="center"/>
        <w:rPr>
          <w:rFonts w:ascii="黑体" w:eastAsia="黑体" w:hAnsi="黑体" w:cs="宋体"/>
          <w:color w:val="000000"/>
          <w:kern w:val="0"/>
        </w:rPr>
      </w:pPr>
      <w:bookmarkStart w:id="0" w:name="_Toc517428069"/>
      <w:r w:rsidRPr="00126350">
        <w:rPr>
          <w:rFonts w:ascii="黑体" w:eastAsia="黑体" w:hAnsi="黑体" w:cs="宋体" w:hint="eastAsia"/>
          <w:color w:val="000000"/>
          <w:kern w:val="0"/>
        </w:rPr>
        <w:t>防灾科技学院教学成果奖励办法（试行）</w:t>
      </w:r>
      <w:bookmarkEnd w:id="0"/>
    </w:p>
    <w:p w:rsidR="00D57D36" w:rsidRPr="00126350" w:rsidRDefault="00D57D36" w:rsidP="00D57D36">
      <w:pPr>
        <w:snapToGrid w:val="0"/>
        <w:spacing w:line="440" w:lineRule="exact"/>
        <w:jc w:val="center"/>
        <w:rPr>
          <w:rFonts w:ascii="楷体_GB2312" w:eastAsia="楷体_GB2312" w:hAnsi="楷体" w:cs="宋体"/>
          <w:b/>
          <w:color w:val="000000"/>
          <w:kern w:val="0"/>
          <w:sz w:val="28"/>
          <w:szCs w:val="28"/>
        </w:rPr>
      </w:pPr>
      <w:proofErr w:type="gramStart"/>
      <w:r w:rsidRPr="00126350">
        <w:rPr>
          <w:rFonts w:ascii="楷体_GB2312" w:eastAsia="楷体_GB2312" w:hAnsi="楷体" w:cs="宋体" w:hint="eastAsia"/>
          <w:b/>
          <w:color w:val="000000"/>
          <w:kern w:val="0"/>
          <w:sz w:val="28"/>
          <w:szCs w:val="28"/>
        </w:rPr>
        <w:t>防科发</w:t>
      </w:r>
      <w:proofErr w:type="gramEnd"/>
      <w:r w:rsidRPr="00126350">
        <w:rPr>
          <w:rFonts w:ascii="楷体_GB2312" w:eastAsia="楷体_GB2312" w:hAnsi="楷体" w:cs="宋体" w:hint="eastAsia"/>
          <w:b/>
          <w:color w:val="000000"/>
          <w:kern w:val="0"/>
          <w:sz w:val="28"/>
          <w:szCs w:val="28"/>
        </w:rPr>
        <w:t xml:space="preserve">教〔2018〕21号 </w:t>
      </w:r>
    </w:p>
    <w:p w:rsidR="00D57D36" w:rsidRPr="00126350" w:rsidRDefault="00D57D36" w:rsidP="00D57D36">
      <w:pPr>
        <w:snapToGrid w:val="0"/>
        <w:spacing w:line="440" w:lineRule="exact"/>
        <w:jc w:val="center"/>
        <w:rPr>
          <w:rFonts w:ascii="楷体_GB2312" w:eastAsia="楷体_GB2312" w:hAnsi="楷体" w:cs="宋体"/>
          <w:b/>
          <w:color w:val="000000"/>
          <w:kern w:val="0"/>
          <w:sz w:val="28"/>
          <w:szCs w:val="28"/>
        </w:rPr>
      </w:pPr>
      <w:r w:rsidRPr="00126350">
        <w:rPr>
          <w:rFonts w:ascii="楷体_GB2312" w:eastAsia="楷体_GB2312" w:hAnsi="楷体" w:cs="宋体" w:hint="eastAsia"/>
          <w:b/>
          <w:color w:val="000000"/>
          <w:kern w:val="0"/>
          <w:sz w:val="28"/>
          <w:szCs w:val="28"/>
        </w:rPr>
        <w:t xml:space="preserve">                                                                                     </w:t>
      </w:r>
    </w:p>
    <w:p w:rsidR="00D57D36" w:rsidRPr="00126350" w:rsidRDefault="00D57D36" w:rsidP="00D57D36">
      <w:pPr>
        <w:snapToGrid w:val="0"/>
        <w:spacing w:line="440" w:lineRule="exact"/>
        <w:jc w:val="center"/>
        <w:rPr>
          <w:rFonts w:ascii="黑体" w:eastAsia="黑体" w:hAnsi="黑体"/>
          <w:color w:val="000000"/>
          <w:sz w:val="30"/>
          <w:szCs w:val="30"/>
        </w:rPr>
      </w:pPr>
      <w:r w:rsidRPr="00126350">
        <w:rPr>
          <w:rFonts w:ascii="黑体" w:eastAsia="黑体" w:hAnsi="黑体" w:hint="eastAsia"/>
          <w:color w:val="000000"/>
          <w:sz w:val="30"/>
          <w:szCs w:val="30"/>
        </w:rPr>
        <w:t>第一章 总 则</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第一条　为推进我校教育事业全面发展，全面提高教学质量和人才培养水平，营造教育教学改革的良好氛围，调动广大教师的积极主动性，规范教学成果的奖励工作，结合我校实际，特制定本办法。</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第二条　教学成果奖励的对象为在我校专业建设和人才培养中取得成果并在教学中得以推广应用，为我校教育事业发展做出贡献的教师个人或集体。</w:t>
      </w:r>
    </w:p>
    <w:p w:rsidR="00D57D36" w:rsidRPr="00126350" w:rsidRDefault="00D57D36" w:rsidP="00D57D36">
      <w:pPr>
        <w:snapToGrid w:val="0"/>
        <w:spacing w:line="440" w:lineRule="exact"/>
        <w:jc w:val="center"/>
        <w:rPr>
          <w:rFonts w:ascii="黑体" w:eastAsia="黑体" w:hAnsi="黑体"/>
          <w:color w:val="000000"/>
          <w:sz w:val="30"/>
          <w:szCs w:val="30"/>
        </w:rPr>
      </w:pPr>
      <w:r w:rsidRPr="00126350">
        <w:rPr>
          <w:rFonts w:ascii="黑体" w:eastAsia="黑体" w:hAnsi="黑体" w:hint="eastAsia"/>
          <w:color w:val="000000"/>
          <w:sz w:val="30"/>
          <w:szCs w:val="30"/>
        </w:rPr>
        <w:t>第二章  教学成果奖励的范围与标准</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第三条  教学成果奖励包括教师奖、优秀教学成果获、优秀教材奖、教学技能竞赛奖、学科竞赛指导奖、优秀学位论文指导奖、教学质量优秀奖、教学建设与改革项目奖等奖项。</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第四条  教师奖的奖励范围与奖励标准。</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（一）范围：经学校推荐，由教育行政主管部门认定或审批获得的国家级、省部级“教学名师”；由学校遴选的校级“教学名师”、“教学新秀”。</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（二）标准：</w:t>
      </w:r>
    </w:p>
    <w:tbl>
      <w:tblPr>
        <w:tblW w:w="5000" w:type="pct"/>
        <w:jc w:val="center"/>
        <w:tblCellMar>
          <w:left w:w="0" w:type="dxa"/>
          <w:right w:w="0" w:type="dxa"/>
        </w:tblCellMar>
        <w:tblLook w:val="04A0" w:firstRow="1" w:lastRow="0" w:firstColumn="1" w:lastColumn="0" w:noHBand="0" w:noVBand="1"/>
      </w:tblPr>
      <w:tblGrid>
        <w:gridCol w:w="2605"/>
        <w:gridCol w:w="2324"/>
        <w:gridCol w:w="3437"/>
      </w:tblGrid>
      <w:tr w:rsidR="00D57D36" w:rsidRPr="00126350" w:rsidTr="00F50C10">
        <w:trPr>
          <w:trHeight w:hRule="exact" w:val="567"/>
          <w:jc w:val="center"/>
        </w:trPr>
        <w:tc>
          <w:tcPr>
            <w:tcW w:w="1557"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范围</w:t>
            </w:r>
          </w:p>
        </w:tc>
        <w:tc>
          <w:tcPr>
            <w:tcW w:w="1389"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等级</w:t>
            </w:r>
          </w:p>
        </w:tc>
        <w:tc>
          <w:tcPr>
            <w:tcW w:w="205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奖励额度（万元/人）</w:t>
            </w:r>
          </w:p>
        </w:tc>
      </w:tr>
      <w:tr w:rsidR="00D57D36" w:rsidRPr="00126350" w:rsidTr="00F50C10">
        <w:trPr>
          <w:trHeight w:hRule="exact" w:val="567"/>
          <w:jc w:val="center"/>
        </w:trPr>
        <w:tc>
          <w:tcPr>
            <w:tcW w:w="1557"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教学名师</w:t>
            </w:r>
          </w:p>
        </w:tc>
        <w:tc>
          <w:tcPr>
            <w:tcW w:w="1389"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国家级</w:t>
            </w:r>
          </w:p>
        </w:tc>
        <w:tc>
          <w:tcPr>
            <w:tcW w:w="205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5.0</w:t>
            </w:r>
          </w:p>
        </w:tc>
      </w:tr>
      <w:tr w:rsidR="00D57D36" w:rsidRPr="00126350" w:rsidTr="00F50C10">
        <w:trPr>
          <w:trHeight w:hRule="exact" w:val="567"/>
          <w:jc w:val="center"/>
        </w:trPr>
        <w:tc>
          <w:tcPr>
            <w:tcW w:w="155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389"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省部级</w:t>
            </w:r>
          </w:p>
        </w:tc>
        <w:tc>
          <w:tcPr>
            <w:tcW w:w="205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2.0</w:t>
            </w:r>
          </w:p>
        </w:tc>
      </w:tr>
      <w:tr w:rsidR="00D57D36" w:rsidRPr="00126350" w:rsidTr="00F50C10">
        <w:trPr>
          <w:trHeight w:hRule="exact" w:val="567"/>
          <w:jc w:val="center"/>
        </w:trPr>
        <w:tc>
          <w:tcPr>
            <w:tcW w:w="155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389"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校级（教学标兵）</w:t>
            </w:r>
          </w:p>
        </w:tc>
        <w:tc>
          <w:tcPr>
            <w:tcW w:w="205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1.0</w:t>
            </w:r>
          </w:p>
        </w:tc>
      </w:tr>
      <w:tr w:rsidR="00D57D36" w:rsidRPr="00126350" w:rsidTr="00F50C10">
        <w:trPr>
          <w:trHeight w:hRule="exact" w:val="567"/>
          <w:jc w:val="center"/>
        </w:trPr>
        <w:tc>
          <w:tcPr>
            <w:tcW w:w="1557"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教学新秀</w:t>
            </w:r>
          </w:p>
        </w:tc>
        <w:tc>
          <w:tcPr>
            <w:tcW w:w="1389"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校级</w:t>
            </w:r>
          </w:p>
        </w:tc>
        <w:tc>
          <w:tcPr>
            <w:tcW w:w="205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0.2</w:t>
            </w:r>
          </w:p>
        </w:tc>
      </w:tr>
    </w:tbl>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第五条  优秀教学成果奖的奖励范围与奖励标准。</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（一）范围：经学校组织推荐、教育行政主管部门评定，由我校作为第一完成单位获得的国家级、省部级优秀教学成果奖；由学校组织评选的校级优秀教学成果奖。</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lastRenderedPageBreak/>
        <w:t>（二）标准：</w:t>
      </w:r>
    </w:p>
    <w:tbl>
      <w:tblPr>
        <w:tblW w:w="5000" w:type="pct"/>
        <w:jc w:val="center"/>
        <w:tblCellMar>
          <w:left w:w="0" w:type="dxa"/>
          <w:right w:w="0" w:type="dxa"/>
        </w:tblCellMar>
        <w:tblLook w:val="04A0" w:firstRow="1" w:lastRow="0" w:firstColumn="1" w:lastColumn="0" w:noHBand="0" w:noVBand="1"/>
      </w:tblPr>
      <w:tblGrid>
        <w:gridCol w:w="2866"/>
        <w:gridCol w:w="2093"/>
        <w:gridCol w:w="3407"/>
      </w:tblGrid>
      <w:tr w:rsidR="00D57D36" w:rsidRPr="00126350" w:rsidTr="00F50C10">
        <w:trPr>
          <w:jc w:val="center"/>
        </w:trPr>
        <w:tc>
          <w:tcPr>
            <w:tcW w:w="17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范围</w:t>
            </w:r>
          </w:p>
        </w:tc>
        <w:tc>
          <w:tcPr>
            <w:tcW w:w="125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等级</w:t>
            </w:r>
          </w:p>
        </w:tc>
        <w:tc>
          <w:tcPr>
            <w:tcW w:w="203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奖励额度（万元/项）</w:t>
            </w:r>
          </w:p>
        </w:tc>
      </w:tr>
      <w:tr w:rsidR="00D57D36" w:rsidRPr="00126350" w:rsidTr="00F50C10">
        <w:trPr>
          <w:jc w:val="center"/>
        </w:trPr>
        <w:tc>
          <w:tcPr>
            <w:tcW w:w="1713"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国家级</w:t>
            </w:r>
          </w:p>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优秀教学成果奖</w:t>
            </w:r>
          </w:p>
        </w:tc>
        <w:tc>
          <w:tcPr>
            <w:tcW w:w="125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特等奖</w:t>
            </w:r>
          </w:p>
        </w:tc>
        <w:tc>
          <w:tcPr>
            <w:tcW w:w="203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20.0</w:t>
            </w:r>
          </w:p>
        </w:tc>
      </w:tr>
      <w:tr w:rsidR="00D57D36" w:rsidRPr="00126350" w:rsidTr="00F50C10">
        <w:trPr>
          <w:jc w:val="center"/>
        </w:trPr>
        <w:tc>
          <w:tcPr>
            <w:tcW w:w="171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25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一等奖</w:t>
            </w:r>
          </w:p>
        </w:tc>
        <w:tc>
          <w:tcPr>
            <w:tcW w:w="203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10.0</w:t>
            </w:r>
          </w:p>
        </w:tc>
      </w:tr>
      <w:tr w:rsidR="00D57D36" w:rsidRPr="00126350" w:rsidTr="00F50C10">
        <w:trPr>
          <w:jc w:val="center"/>
        </w:trPr>
        <w:tc>
          <w:tcPr>
            <w:tcW w:w="171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25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二等奖</w:t>
            </w:r>
          </w:p>
        </w:tc>
        <w:tc>
          <w:tcPr>
            <w:tcW w:w="203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8.0</w:t>
            </w:r>
          </w:p>
        </w:tc>
      </w:tr>
      <w:tr w:rsidR="00D57D36" w:rsidRPr="00126350" w:rsidTr="00F50C10">
        <w:trPr>
          <w:jc w:val="center"/>
        </w:trPr>
        <w:tc>
          <w:tcPr>
            <w:tcW w:w="1713"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省部级</w:t>
            </w:r>
          </w:p>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优秀教学成果奖</w:t>
            </w:r>
          </w:p>
        </w:tc>
        <w:tc>
          <w:tcPr>
            <w:tcW w:w="125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一等奖</w:t>
            </w:r>
          </w:p>
        </w:tc>
        <w:tc>
          <w:tcPr>
            <w:tcW w:w="203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5.0</w:t>
            </w:r>
          </w:p>
        </w:tc>
      </w:tr>
      <w:tr w:rsidR="00D57D36" w:rsidRPr="00126350" w:rsidTr="00F50C10">
        <w:trPr>
          <w:jc w:val="center"/>
        </w:trPr>
        <w:tc>
          <w:tcPr>
            <w:tcW w:w="171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25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二等奖</w:t>
            </w:r>
          </w:p>
        </w:tc>
        <w:tc>
          <w:tcPr>
            <w:tcW w:w="203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3.0</w:t>
            </w:r>
          </w:p>
        </w:tc>
      </w:tr>
      <w:tr w:rsidR="00D57D36" w:rsidRPr="00126350" w:rsidTr="00F50C10">
        <w:trPr>
          <w:jc w:val="center"/>
        </w:trPr>
        <w:tc>
          <w:tcPr>
            <w:tcW w:w="171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25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三等奖</w:t>
            </w:r>
          </w:p>
        </w:tc>
        <w:tc>
          <w:tcPr>
            <w:tcW w:w="203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1.0</w:t>
            </w:r>
          </w:p>
        </w:tc>
      </w:tr>
      <w:tr w:rsidR="00D57D36" w:rsidRPr="00126350" w:rsidTr="00F50C10">
        <w:trPr>
          <w:jc w:val="center"/>
        </w:trPr>
        <w:tc>
          <w:tcPr>
            <w:tcW w:w="1713"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校级</w:t>
            </w:r>
          </w:p>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优秀教学成果奖</w:t>
            </w:r>
          </w:p>
        </w:tc>
        <w:tc>
          <w:tcPr>
            <w:tcW w:w="125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一等奖</w:t>
            </w:r>
          </w:p>
        </w:tc>
        <w:tc>
          <w:tcPr>
            <w:tcW w:w="203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0.5</w:t>
            </w:r>
          </w:p>
        </w:tc>
      </w:tr>
      <w:tr w:rsidR="00D57D36" w:rsidRPr="00126350" w:rsidTr="00F50C10">
        <w:trPr>
          <w:jc w:val="center"/>
        </w:trPr>
        <w:tc>
          <w:tcPr>
            <w:tcW w:w="171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25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二等奖</w:t>
            </w:r>
          </w:p>
        </w:tc>
        <w:tc>
          <w:tcPr>
            <w:tcW w:w="203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0.2</w:t>
            </w:r>
          </w:p>
        </w:tc>
      </w:tr>
      <w:tr w:rsidR="00D57D36" w:rsidRPr="00126350" w:rsidTr="00F50C10">
        <w:trPr>
          <w:jc w:val="center"/>
        </w:trPr>
        <w:tc>
          <w:tcPr>
            <w:tcW w:w="171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25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三等奖</w:t>
            </w:r>
          </w:p>
        </w:tc>
        <w:tc>
          <w:tcPr>
            <w:tcW w:w="203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0.1</w:t>
            </w:r>
          </w:p>
        </w:tc>
      </w:tr>
    </w:tbl>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（三）我校作为第二、第三完成单位获得的优秀教学成果奖，每项成果分别按相应等级额度的50％、25％奖励。</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第六条  优秀教材奖的奖励范围与奖励标准。</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（一）范围：由我校作为主编单位，我校教师作为第一主编，经教育行政主管部门评选的国家级、省部级优秀教材奖。</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（二）标准：</w:t>
      </w:r>
    </w:p>
    <w:tbl>
      <w:tblPr>
        <w:tblW w:w="5000" w:type="pct"/>
        <w:jc w:val="center"/>
        <w:tblCellMar>
          <w:left w:w="0" w:type="dxa"/>
          <w:right w:w="0" w:type="dxa"/>
        </w:tblCellMar>
        <w:tblLook w:val="04A0" w:firstRow="1" w:lastRow="0" w:firstColumn="1" w:lastColumn="0" w:noHBand="0" w:noVBand="1"/>
      </w:tblPr>
      <w:tblGrid>
        <w:gridCol w:w="3121"/>
        <w:gridCol w:w="1899"/>
        <w:gridCol w:w="3346"/>
      </w:tblGrid>
      <w:tr w:rsidR="00D57D36" w:rsidRPr="00126350" w:rsidTr="00F50C10">
        <w:trPr>
          <w:jc w:val="center"/>
        </w:trPr>
        <w:tc>
          <w:tcPr>
            <w:tcW w:w="186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范围</w:t>
            </w:r>
          </w:p>
        </w:tc>
        <w:tc>
          <w:tcPr>
            <w:tcW w:w="11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等级</w:t>
            </w:r>
          </w:p>
        </w:tc>
        <w:tc>
          <w:tcPr>
            <w:tcW w:w="20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奖励额度（万元/部）</w:t>
            </w:r>
          </w:p>
        </w:tc>
      </w:tr>
      <w:tr w:rsidR="00D57D36" w:rsidRPr="00126350" w:rsidTr="00F50C10">
        <w:trPr>
          <w:jc w:val="center"/>
        </w:trPr>
        <w:tc>
          <w:tcPr>
            <w:tcW w:w="1865"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国家级优秀教材奖</w:t>
            </w:r>
          </w:p>
        </w:tc>
        <w:tc>
          <w:tcPr>
            <w:tcW w:w="11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一等奖</w:t>
            </w:r>
          </w:p>
        </w:tc>
        <w:tc>
          <w:tcPr>
            <w:tcW w:w="20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6.0</w:t>
            </w:r>
          </w:p>
        </w:tc>
      </w:tr>
      <w:tr w:rsidR="00D57D36" w:rsidRPr="00126350" w:rsidTr="00F50C10">
        <w:trPr>
          <w:jc w:val="center"/>
        </w:trPr>
        <w:tc>
          <w:tcPr>
            <w:tcW w:w="186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1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二等奖</w:t>
            </w:r>
          </w:p>
        </w:tc>
        <w:tc>
          <w:tcPr>
            <w:tcW w:w="20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4.0</w:t>
            </w:r>
          </w:p>
        </w:tc>
      </w:tr>
      <w:tr w:rsidR="00D57D36" w:rsidRPr="00126350" w:rsidTr="00F50C10">
        <w:trPr>
          <w:jc w:val="center"/>
        </w:trPr>
        <w:tc>
          <w:tcPr>
            <w:tcW w:w="186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1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三等奖</w:t>
            </w:r>
          </w:p>
        </w:tc>
        <w:tc>
          <w:tcPr>
            <w:tcW w:w="20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2.0</w:t>
            </w:r>
          </w:p>
        </w:tc>
      </w:tr>
      <w:tr w:rsidR="00D57D36" w:rsidRPr="00126350" w:rsidTr="00F50C10">
        <w:trPr>
          <w:jc w:val="center"/>
        </w:trPr>
        <w:tc>
          <w:tcPr>
            <w:tcW w:w="1865"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省部级优秀教材奖</w:t>
            </w:r>
          </w:p>
        </w:tc>
        <w:tc>
          <w:tcPr>
            <w:tcW w:w="11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一等奖</w:t>
            </w:r>
          </w:p>
        </w:tc>
        <w:tc>
          <w:tcPr>
            <w:tcW w:w="20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2.0</w:t>
            </w:r>
          </w:p>
        </w:tc>
      </w:tr>
      <w:tr w:rsidR="00D57D36" w:rsidRPr="00126350" w:rsidTr="00F50C10">
        <w:trPr>
          <w:jc w:val="center"/>
        </w:trPr>
        <w:tc>
          <w:tcPr>
            <w:tcW w:w="186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1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二等奖</w:t>
            </w:r>
          </w:p>
        </w:tc>
        <w:tc>
          <w:tcPr>
            <w:tcW w:w="20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1.0</w:t>
            </w:r>
          </w:p>
        </w:tc>
      </w:tr>
      <w:tr w:rsidR="00D57D36" w:rsidRPr="00126350" w:rsidTr="00F50C10">
        <w:trPr>
          <w:jc w:val="center"/>
        </w:trPr>
        <w:tc>
          <w:tcPr>
            <w:tcW w:w="186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1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三等奖</w:t>
            </w:r>
          </w:p>
        </w:tc>
        <w:tc>
          <w:tcPr>
            <w:tcW w:w="20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0.5</w:t>
            </w:r>
          </w:p>
        </w:tc>
      </w:tr>
    </w:tbl>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（三）对于我校教师参与主编的教材，且在编者单位</w:t>
      </w:r>
      <w:proofErr w:type="gramStart"/>
      <w:r w:rsidRPr="00126350">
        <w:rPr>
          <w:rFonts w:ascii="宋体" w:hAnsi="宋体" w:hint="eastAsia"/>
          <w:color w:val="000000"/>
          <w:sz w:val="24"/>
        </w:rPr>
        <w:t>中署</w:t>
      </w:r>
      <w:proofErr w:type="gramEnd"/>
      <w:r w:rsidRPr="00126350">
        <w:rPr>
          <w:rFonts w:ascii="宋体" w:hAnsi="宋体" w:hint="eastAsia"/>
          <w:color w:val="000000"/>
          <w:sz w:val="24"/>
        </w:rPr>
        <w:t>名学校，则根据教师在编委会的排名（N为排序），按相应等级奖金的1/N予以奖励。</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第七条  教学技能竞赛奖的奖励范围和标准。</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lastRenderedPageBreak/>
        <w:t>（一）范围：经学校组织推荐，在教育行政主管部门主办的各类教学技能竞赛中获奖的教师个人或集体，包括专业技能大赛、讲课比赛、</w:t>
      </w:r>
      <w:proofErr w:type="gramStart"/>
      <w:r w:rsidRPr="00126350">
        <w:rPr>
          <w:rFonts w:ascii="宋体" w:hAnsi="宋体" w:hint="eastAsia"/>
          <w:color w:val="000000"/>
          <w:sz w:val="24"/>
        </w:rPr>
        <w:t>微课比赛</w:t>
      </w:r>
      <w:proofErr w:type="gramEnd"/>
      <w:r w:rsidRPr="00126350">
        <w:rPr>
          <w:rFonts w:ascii="宋体" w:hAnsi="宋体" w:hint="eastAsia"/>
          <w:color w:val="000000"/>
          <w:sz w:val="24"/>
        </w:rPr>
        <w:t>、课件比赛、说课比赛等；在学校自行组织的各类教学技能竞赛活动中获奖的教师个人或集体。</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（二）标准：</w:t>
      </w:r>
    </w:p>
    <w:tbl>
      <w:tblPr>
        <w:tblW w:w="5000" w:type="pct"/>
        <w:jc w:val="center"/>
        <w:tblCellMar>
          <w:left w:w="0" w:type="dxa"/>
          <w:right w:w="0" w:type="dxa"/>
        </w:tblCellMar>
        <w:tblLook w:val="04A0" w:firstRow="1" w:lastRow="0" w:firstColumn="1" w:lastColumn="0" w:noHBand="0" w:noVBand="1"/>
      </w:tblPr>
      <w:tblGrid>
        <w:gridCol w:w="3073"/>
        <w:gridCol w:w="2259"/>
        <w:gridCol w:w="3034"/>
      </w:tblGrid>
      <w:tr w:rsidR="00D57D36" w:rsidRPr="00126350" w:rsidTr="00F50C10">
        <w:trPr>
          <w:jc w:val="center"/>
        </w:trPr>
        <w:tc>
          <w:tcPr>
            <w:tcW w:w="1837"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范围</w:t>
            </w:r>
          </w:p>
        </w:tc>
        <w:tc>
          <w:tcPr>
            <w:tcW w:w="13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等级</w:t>
            </w:r>
          </w:p>
        </w:tc>
        <w:tc>
          <w:tcPr>
            <w:tcW w:w="18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b/>
                <w:bCs/>
                <w:color w:val="000000"/>
                <w:sz w:val="24"/>
              </w:rPr>
              <w:t>奖励额度（万元/项）</w:t>
            </w:r>
          </w:p>
        </w:tc>
      </w:tr>
      <w:tr w:rsidR="00D57D36" w:rsidRPr="00126350" w:rsidTr="00F50C10">
        <w:trPr>
          <w:jc w:val="center"/>
        </w:trPr>
        <w:tc>
          <w:tcPr>
            <w:tcW w:w="1837"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国家级教学技能竞赛</w:t>
            </w:r>
          </w:p>
        </w:tc>
        <w:tc>
          <w:tcPr>
            <w:tcW w:w="13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一等奖</w:t>
            </w:r>
          </w:p>
        </w:tc>
        <w:tc>
          <w:tcPr>
            <w:tcW w:w="18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2.00</w:t>
            </w:r>
          </w:p>
        </w:tc>
      </w:tr>
      <w:tr w:rsidR="00D57D36" w:rsidRPr="00126350" w:rsidTr="00F50C10">
        <w:trPr>
          <w:jc w:val="center"/>
        </w:trPr>
        <w:tc>
          <w:tcPr>
            <w:tcW w:w="183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3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二等奖</w:t>
            </w:r>
          </w:p>
        </w:tc>
        <w:tc>
          <w:tcPr>
            <w:tcW w:w="18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1.00</w:t>
            </w:r>
          </w:p>
        </w:tc>
      </w:tr>
      <w:tr w:rsidR="00D57D36" w:rsidRPr="00126350" w:rsidTr="00F50C10">
        <w:trPr>
          <w:jc w:val="center"/>
        </w:trPr>
        <w:tc>
          <w:tcPr>
            <w:tcW w:w="183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3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三等奖</w:t>
            </w:r>
          </w:p>
        </w:tc>
        <w:tc>
          <w:tcPr>
            <w:tcW w:w="18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0.50</w:t>
            </w:r>
          </w:p>
        </w:tc>
      </w:tr>
      <w:tr w:rsidR="00D57D36" w:rsidRPr="00126350" w:rsidTr="00F50C10">
        <w:trPr>
          <w:jc w:val="center"/>
        </w:trPr>
        <w:tc>
          <w:tcPr>
            <w:tcW w:w="1837"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省（部）级教学技能竞赛</w:t>
            </w:r>
          </w:p>
        </w:tc>
        <w:tc>
          <w:tcPr>
            <w:tcW w:w="13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一等奖</w:t>
            </w:r>
          </w:p>
        </w:tc>
        <w:tc>
          <w:tcPr>
            <w:tcW w:w="18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0.60</w:t>
            </w:r>
          </w:p>
        </w:tc>
      </w:tr>
      <w:tr w:rsidR="00D57D36" w:rsidRPr="00126350" w:rsidTr="00F50C10">
        <w:trPr>
          <w:jc w:val="center"/>
        </w:trPr>
        <w:tc>
          <w:tcPr>
            <w:tcW w:w="183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3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二等奖</w:t>
            </w:r>
          </w:p>
        </w:tc>
        <w:tc>
          <w:tcPr>
            <w:tcW w:w="18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0.40</w:t>
            </w:r>
          </w:p>
        </w:tc>
      </w:tr>
      <w:tr w:rsidR="00D57D36" w:rsidRPr="00126350" w:rsidTr="00F50C10">
        <w:trPr>
          <w:jc w:val="center"/>
        </w:trPr>
        <w:tc>
          <w:tcPr>
            <w:tcW w:w="183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3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三等奖</w:t>
            </w:r>
          </w:p>
        </w:tc>
        <w:tc>
          <w:tcPr>
            <w:tcW w:w="18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0.20</w:t>
            </w:r>
          </w:p>
        </w:tc>
      </w:tr>
      <w:tr w:rsidR="00D57D36" w:rsidRPr="00126350" w:rsidTr="00F50C10">
        <w:trPr>
          <w:jc w:val="center"/>
        </w:trPr>
        <w:tc>
          <w:tcPr>
            <w:tcW w:w="1837"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校级教学技能竞赛</w:t>
            </w:r>
          </w:p>
        </w:tc>
        <w:tc>
          <w:tcPr>
            <w:tcW w:w="13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一等奖</w:t>
            </w:r>
          </w:p>
        </w:tc>
        <w:tc>
          <w:tcPr>
            <w:tcW w:w="18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0.20</w:t>
            </w:r>
          </w:p>
        </w:tc>
      </w:tr>
      <w:tr w:rsidR="00D57D36" w:rsidRPr="00126350" w:rsidTr="00F50C10">
        <w:trPr>
          <w:jc w:val="center"/>
        </w:trPr>
        <w:tc>
          <w:tcPr>
            <w:tcW w:w="183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3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二等奖</w:t>
            </w:r>
          </w:p>
        </w:tc>
        <w:tc>
          <w:tcPr>
            <w:tcW w:w="18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0.15</w:t>
            </w:r>
          </w:p>
        </w:tc>
      </w:tr>
      <w:tr w:rsidR="00D57D36" w:rsidRPr="00126350" w:rsidTr="00F50C10">
        <w:trPr>
          <w:jc w:val="center"/>
        </w:trPr>
        <w:tc>
          <w:tcPr>
            <w:tcW w:w="183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p>
        </w:tc>
        <w:tc>
          <w:tcPr>
            <w:tcW w:w="13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三等奖</w:t>
            </w:r>
          </w:p>
        </w:tc>
        <w:tc>
          <w:tcPr>
            <w:tcW w:w="18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0.08</w:t>
            </w:r>
          </w:p>
        </w:tc>
      </w:tr>
      <w:tr w:rsidR="00D57D36" w:rsidRPr="00126350" w:rsidTr="00F50C10">
        <w:trPr>
          <w:jc w:val="center"/>
        </w:trPr>
        <w:tc>
          <w:tcPr>
            <w:tcW w:w="1837"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各级教学技能竞赛</w:t>
            </w:r>
          </w:p>
        </w:tc>
        <w:tc>
          <w:tcPr>
            <w:tcW w:w="13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组织奖（集体）</w:t>
            </w:r>
          </w:p>
        </w:tc>
        <w:tc>
          <w:tcPr>
            <w:tcW w:w="1813"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59" w:lineRule="atLeast"/>
              <w:jc w:val="center"/>
              <w:rPr>
                <w:rFonts w:ascii="宋体" w:hAnsi="宋体"/>
                <w:color w:val="000000"/>
                <w:sz w:val="24"/>
              </w:rPr>
            </w:pPr>
            <w:r w:rsidRPr="00126350">
              <w:rPr>
                <w:rFonts w:ascii="宋体" w:hAnsi="宋体"/>
                <w:color w:val="000000"/>
                <w:sz w:val="24"/>
              </w:rPr>
              <w:t>0.30</w:t>
            </w:r>
          </w:p>
        </w:tc>
      </w:tr>
    </w:tbl>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第八条  学科竞赛指导奖的奖励范围和标准。</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（一）范围：经学校备案或审批，教师指导学生（团体）参加教育行政主管部门主办的各</w:t>
      </w:r>
      <w:proofErr w:type="gramStart"/>
      <w:r w:rsidRPr="00126350">
        <w:rPr>
          <w:rFonts w:ascii="宋体" w:hAnsi="宋体" w:hint="eastAsia"/>
          <w:color w:val="000000"/>
          <w:sz w:val="24"/>
        </w:rPr>
        <w:t>类创新</w:t>
      </w:r>
      <w:proofErr w:type="gramEnd"/>
      <w:r w:rsidRPr="00126350">
        <w:rPr>
          <w:rFonts w:ascii="宋体" w:hAnsi="宋体" w:hint="eastAsia"/>
          <w:color w:val="000000"/>
          <w:sz w:val="24"/>
        </w:rPr>
        <w:t>创业大赛、学科竞赛、职业技能竞赛中获奖，对指导教师给予奖励。</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（二）标准：</w:t>
      </w:r>
    </w:p>
    <w:tbl>
      <w:tblPr>
        <w:tblW w:w="5000" w:type="pct"/>
        <w:jc w:val="center"/>
        <w:tblCellMar>
          <w:left w:w="0" w:type="dxa"/>
          <w:right w:w="0" w:type="dxa"/>
        </w:tblCellMar>
        <w:tblLook w:val="04A0" w:firstRow="1" w:lastRow="0" w:firstColumn="1" w:lastColumn="0" w:noHBand="0" w:noVBand="1"/>
      </w:tblPr>
      <w:tblGrid>
        <w:gridCol w:w="5214"/>
        <w:gridCol w:w="3152"/>
      </w:tblGrid>
      <w:tr w:rsidR="00D57D36" w:rsidRPr="00126350" w:rsidTr="00F50C10">
        <w:trPr>
          <w:jc w:val="center"/>
        </w:trPr>
        <w:tc>
          <w:tcPr>
            <w:tcW w:w="311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b/>
                <w:bCs/>
                <w:color w:val="000000"/>
                <w:sz w:val="24"/>
              </w:rPr>
              <w:t>范围</w:t>
            </w:r>
          </w:p>
        </w:tc>
        <w:tc>
          <w:tcPr>
            <w:tcW w:w="188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b/>
                <w:bCs/>
                <w:color w:val="000000"/>
                <w:sz w:val="24"/>
              </w:rPr>
              <w:t>奖励额度（万元/队）</w:t>
            </w:r>
          </w:p>
        </w:tc>
      </w:tr>
      <w:tr w:rsidR="00D57D36" w:rsidRPr="00126350" w:rsidTr="00F50C10">
        <w:trPr>
          <w:jc w:val="center"/>
        </w:trPr>
        <w:tc>
          <w:tcPr>
            <w:tcW w:w="311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国际特等奖、洲际特等奖</w:t>
            </w:r>
          </w:p>
        </w:tc>
        <w:tc>
          <w:tcPr>
            <w:tcW w:w="188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0.40</w:t>
            </w:r>
          </w:p>
        </w:tc>
      </w:tr>
      <w:tr w:rsidR="00D57D36" w:rsidRPr="00126350" w:rsidTr="00F50C10">
        <w:trPr>
          <w:jc w:val="center"/>
        </w:trPr>
        <w:tc>
          <w:tcPr>
            <w:tcW w:w="311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国际一等奖、洲际一等奖、国家特等奖</w:t>
            </w:r>
          </w:p>
        </w:tc>
        <w:tc>
          <w:tcPr>
            <w:tcW w:w="188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0.20</w:t>
            </w:r>
          </w:p>
        </w:tc>
      </w:tr>
      <w:tr w:rsidR="00D57D36" w:rsidRPr="00126350" w:rsidTr="00F50C10">
        <w:trPr>
          <w:jc w:val="center"/>
        </w:trPr>
        <w:tc>
          <w:tcPr>
            <w:tcW w:w="311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国际二等奖、洲际二等奖、国家一等奖</w:t>
            </w:r>
          </w:p>
        </w:tc>
        <w:tc>
          <w:tcPr>
            <w:tcW w:w="188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0.15</w:t>
            </w:r>
          </w:p>
        </w:tc>
      </w:tr>
      <w:tr w:rsidR="00D57D36" w:rsidRPr="00126350" w:rsidTr="00F50C10">
        <w:trPr>
          <w:jc w:val="center"/>
        </w:trPr>
        <w:tc>
          <w:tcPr>
            <w:tcW w:w="311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国际三等奖、洲际三等奖、国家二等奖</w:t>
            </w:r>
          </w:p>
        </w:tc>
        <w:tc>
          <w:tcPr>
            <w:tcW w:w="188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0.10</w:t>
            </w:r>
          </w:p>
        </w:tc>
      </w:tr>
      <w:tr w:rsidR="00D57D36" w:rsidRPr="00126350" w:rsidTr="00F50C10">
        <w:trPr>
          <w:jc w:val="center"/>
        </w:trPr>
        <w:tc>
          <w:tcPr>
            <w:tcW w:w="311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国家三等奖、省级一等奖（含特等奖）</w:t>
            </w:r>
          </w:p>
        </w:tc>
        <w:tc>
          <w:tcPr>
            <w:tcW w:w="188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0.08</w:t>
            </w:r>
          </w:p>
        </w:tc>
      </w:tr>
      <w:tr w:rsidR="00D57D36" w:rsidRPr="00126350" w:rsidTr="00F50C10">
        <w:trPr>
          <w:jc w:val="center"/>
        </w:trPr>
        <w:tc>
          <w:tcPr>
            <w:tcW w:w="311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lastRenderedPageBreak/>
              <w:t>省级二等奖</w:t>
            </w:r>
          </w:p>
        </w:tc>
        <w:tc>
          <w:tcPr>
            <w:tcW w:w="188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0.05</w:t>
            </w:r>
          </w:p>
        </w:tc>
      </w:tr>
      <w:tr w:rsidR="00D57D36" w:rsidRPr="00126350" w:rsidTr="00F50C10">
        <w:trPr>
          <w:jc w:val="center"/>
        </w:trPr>
        <w:tc>
          <w:tcPr>
            <w:tcW w:w="311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省级三等奖</w:t>
            </w:r>
          </w:p>
        </w:tc>
        <w:tc>
          <w:tcPr>
            <w:tcW w:w="1884"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0.02</w:t>
            </w:r>
          </w:p>
        </w:tc>
      </w:tr>
    </w:tbl>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第九条  优秀学位论文指导奖的奖励范围和标准。</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（一）范围：经学校推荐或评选，被教育行政主管部门评选为优秀学位论文的本科生、硕士生学位论文，对论文指导教师给予奖励。</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（二）标准：</w:t>
      </w:r>
    </w:p>
    <w:tbl>
      <w:tblPr>
        <w:tblW w:w="5000" w:type="pct"/>
        <w:jc w:val="center"/>
        <w:tblCellMar>
          <w:left w:w="0" w:type="dxa"/>
          <w:right w:w="0" w:type="dxa"/>
        </w:tblCellMar>
        <w:tblLook w:val="04A0" w:firstRow="1" w:lastRow="0" w:firstColumn="1" w:lastColumn="0" w:noHBand="0" w:noVBand="1"/>
      </w:tblPr>
      <w:tblGrid>
        <w:gridCol w:w="2945"/>
        <w:gridCol w:w="2066"/>
        <w:gridCol w:w="3355"/>
      </w:tblGrid>
      <w:tr w:rsidR="00D57D36" w:rsidRPr="00126350" w:rsidTr="00F50C10">
        <w:trPr>
          <w:jc w:val="center"/>
        </w:trPr>
        <w:tc>
          <w:tcPr>
            <w:tcW w:w="176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b/>
                <w:bCs/>
                <w:color w:val="000000"/>
                <w:sz w:val="24"/>
              </w:rPr>
              <w:t>范围</w:t>
            </w:r>
          </w:p>
        </w:tc>
        <w:tc>
          <w:tcPr>
            <w:tcW w:w="12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b/>
                <w:bCs/>
                <w:color w:val="000000"/>
                <w:sz w:val="24"/>
              </w:rPr>
              <w:t>级别</w:t>
            </w:r>
          </w:p>
        </w:tc>
        <w:tc>
          <w:tcPr>
            <w:tcW w:w="200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b/>
                <w:bCs/>
                <w:color w:val="000000"/>
                <w:sz w:val="24"/>
              </w:rPr>
              <w:t>奖励额度（万元/篇）</w:t>
            </w:r>
          </w:p>
        </w:tc>
      </w:tr>
      <w:tr w:rsidR="00D57D36" w:rsidRPr="00126350" w:rsidTr="00F50C10">
        <w:trPr>
          <w:jc w:val="center"/>
        </w:trPr>
        <w:tc>
          <w:tcPr>
            <w:tcW w:w="1760"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color w:val="000000"/>
                <w:sz w:val="24"/>
              </w:rPr>
              <w:t>硕士学位论文</w:t>
            </w:r>
          </w:p>
        </w:tc>
        <w:tc>
          <w:tcPr>
            <w:tcW w:w="12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color w:val="000000"/>
                <w:sz w:val="24"/>
              </w:rPr>
              <w:t>国家级</w:t>
            </w:r>
          </w:p>
        </w:tc>
        <w:tc>
          <w:tcPr>
            <w:tcW w:w="200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color w:val="000000"/>
                <w:sz w:val="24"/>
              </w:rPr>
              <w:t>1.00</w:t>
            </w:r>
          </w:p>
        </w:tc>
      </w:tr>
      <w:tr w:rsidR="00D57D36" w:rsidRPr="00126350" w:rsidTr="00F50C10">
        <w:trPr>
          <w:jc w:val="center"/>
        </w:trPr>
        <w:tc>
          <w:tcPr>
            <w:tcW w:w="176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p>
        </w:tc>
        <w:tc>
          <w:tcPr>
            <w:tcW w:w="12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color w:val="000000"/>
                <w:sz w:val="24"/>
              </w:rPr>
              <w:t>省部级</w:t>
            </w:r>
          </w:p>
        </w:tc>
        <w:tc>
          <w:tcPr>
            <w:tcW w:w="200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color w:val="000000"/>
                <w:sz w:val="24"/>
              </w:rPr>
              <w:t>0.50</w:t>
            </w:r>
          </w:p>
        </w:tc>
      </w:tr>
      <w:tr w:rsidR="00D57D36" w:rsidRPr="00126350" w:rsidTr="00F50C10">
        <w:trPr>
          <w:jc w:val="center"/>
        </w:trPr>
        <w:tc>
          <w:tcPr>
            <w:tcW w:w="176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p>
        </w:tc>
        <w:tc>
          <w:tcPr>
            <w:tcW w:w="12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color w:val="000000"/>
                <w:sz w:val="24"/>
              </w:rPr>
              <w:t>校级</w:t>
            </w:r>
          </w:p>
        </w:tc>
        <w:tc>
          <w:tcPr>
            <w:tcW w:w="200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color w:val="000000"/>
                <w:sz w:val="24"/>
              </w:rPr>
              <w:t>0.20</w:t>
            </w:r>
          </w:p>
        </w:tc>
      </w:tr>
      <w:tr w:rsidR="00D57D36" w:rsidRPr="00126350" w:rsidTr="00F50C10">
        <w:trPr>
          <w:jc w:val="center"/>
        </w:trPr>
        <w:tc>
          <w:tcPr>
            <w:tcW w:w="176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color w:val="000000"/>
                <w:sz w:val="24"/>
              </w:rPr>
              <w:t>优秀学士学位论文</w:t>
            </w:r>
          </w:p>
        </w:tc>
        <w:tc>
          <w:tcPr>
            <w:tcW w:w="123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color w:val="000000"/>
                <w:sz w:val="24"/>
              </w:rPr>
              <w:t>校级</w:t>
            </w:r>
          </w:p>
        </w:tc>
        <w:tc>
          <w:tcPr>
            <w:tcW w:w="200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atLeast"/>
              <w:jc w:val="center"/>
              <w:rPr>
                <w:rFonts w:ascii="宋体" w:hAnsi="宋体"/>
                <w:color w:val="000000"/>
                <w:sz w:val="24"/>
              </w:rPr>
            </w:pPr>
            <w:r w:rsidRPr="00126350">
              <w:rPr>
                <w:rFonts w:ascii="宋体" w:hAnsi="宋体"/>
                <w:color w:val="000000"/>
                <w:sz w:val="24"/>
              </w:rPr>
              <w:t>0.05</w:t>
            </w:r>
          </w:p>
        </w:tc>
      </w:tr>
    </w:tbl>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第十条  教学质量优秀奖的奖励范围和标准。</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（一）范围：依据《防灾科技学院本科教学质量优秀奖评选办法（试行）》，每学年评选“本科教学质量优秀奖”；依据《防灾科技学院本科课程教学质量监测与评价办法（试行）》，</w:t>
      </w:r>
      <w:proofErr w:type="gramStart"/>
      <w:r w:rsidRPr="00126350">
        <w:rPr>
          <w:rFonts w:ascii="宋体" w:hAnsi="宋体" w:hint="eastAsia"/>
          <w:color w:val="000000"/>
          <w:sz w:val="24"/>
        </w:rPr>
        <w:t>每自然年</w:t>
      </w:r>
      <w:proofErr w:type="gramEnd"/>
      <w:r w:rsidRPr="00126350">
        <w:rPr>
          <w:rFonts w:ascii="宋体" w:hAnsi="宋体" w:hint="eastAsia"/>
          <w:color w:val="000000"/>
          <w:sz w:val="24"/>
        </w:rPr>
        <w:t>评选“年度教学质量优秀奖”；依据《防灾科技学院本科专业教学质量评估方法（试行）》，</w:t>
      </w:r>
      <w:proofErr w:type="gramStart"/>
      <w:r w:rsidRPr="00126350">
        <w:rPr>
          <w:rFonts w:ascii="宋体" w:hAnsi="宋体" w:hint="eastAsia"/>
          <w:color w:val="000000"/>
          <w:sz w:val="24"/>
        </w:rPr>
        <w:t>每自然年</w:t>
      </w:r>
      <w:proofErr w:type="gramEnd"/>
      <w:r w:rsidRPr="00126350">
        <w:rPr>
          <w:rFonts w:ascii="宋体" w:hAnsi="宋体" w:hint="eastAsia"/>
          <w:color w:val="000000"/>
          <w:sz w:val="24"/>
        </w:rPr>
        <w:t>认定“教学质量示范专业”，按原办法执行。</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（二）标准：</w:t>
      </w:r>
    </w:p>
    <w:tbl>
      <w:tblPr>
        <w:tblW w:w="5000" w:type="pct"/>
        <w:jc w:val="center"/>
        <w:tblCellMar>
          <w:left w:w="0" w:type="dxa"/>
          <w:right w:w="0" w:type="dxa"/>
        </w:tblCellMar>
        <w:tblLook w:val="04A0" w:firstRow="1" w:lastRow="0" w:firstColumn="1" w:lastColumn="0" w:noHBand="0" w:noVBand="1"/>
      </w:tblPr>
      <w:tblGrid>
        <w:gridCol w:w="2886"/>
        <w:gridCol w:w="2754"/>
        <w:gridCol w:w="2726"/>
      </w:tblGrid>
      <w:tr w:rsidR="00D57D36" w:rsidRPr="00126350" w:rsidTr="00F50C10">
        <w:trPr>
          <w:jc w:val="center"/>
        </w:trPr>
        <w:tc>
          <w:tcPr>
            <w:tcW w:w="172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b/>
                <w:bCs/>
                <w:color w:val="000000"/>
                <w:sz w:val="24"/>
              </w:rPr>
              <w:t>范围</w:t>
            </w:r>
          </w:p>
        </w:tc>
        <w:tc>
          <w:tcPr>
            <w:tcW w:w="164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b/>
                <w:bCs/>
                <w:color w:val="000000"/>
                <w:sz w:val="24"/>
              </w:rPr>
              <w:t>级别</w:t>
            </w:r>
          </w:p>
        </w:tc>
        <w:tc>
          <w:tcPr>
            <w:tcW w:w="1629"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b/>
                <w:bCs/>
                <w:color w:val="000000"/>
                <w:sz w:val="24"/>
              </w:rPr>
              <w:t>奖励金额</w:t>
            </w:r>
          </w:p>
        </w:tc>
      </w:tr>
      <w:tr w:rsidR="00D57D36" w:rsidRPr="00126350" w:rsidTr="00F50C10">
        <w:trPr>
          <w:jc w:val="center"/>
        </w:trPr>
        <w:tc>
          <w:tcPr>
            <w:tcW w:w="172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本科教学质量优秀奖</w:t>
            </w:r>
          </w:p>
        </w:tc>
        <w:tc>
          <w:tcPr>
            <w:tcW w:w="164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校级（前15%）</w:t>
            </w:r>
          </w:p>
        </w:tc>
        <w:tc>
          <w:tcPr>
            <w:tcW w:w="1629"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0.2万元/人</w:t>
            </w:r>
          </w:p>
        </w:tc>
      </w:tr>
      <w:tr w:rsidR="00D57D36" w:rsidRPr="00126350" w:rsidTr="00F50C10">
        <w:trPr>
          <w:jc w:val="center"/>
        </w:trPr>
        <w:tc>
          <w:tcPr>
            <w:tcW w:w="1725"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年度教学质量优秀奖</w:t>
            </w:r>
          </w:p>
        </w:tc>
        <w:tc>
          <w:tcPr>
            <w:tcW w:w="164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校级（前10%）</w:t>
            </w:r>
          </w:p>
        </w:tc>
        <w:tc>
          <w:tcPr>
            <w:tcW w:w="1629"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0.5万元/人</w:t>
            </w:r>
          </w:p>
        </w:tc>
      </w:tr>
      <w:tr w:rsidR="00D57D36" w:rsidRPr="00126350" w:rsidTr="00F50C10">
        <w:trPr>
          <w:jc w:val="center"/>
        </w:trPr>
        <w:tc>
          <w:tcPr>
            <w:tcW w:w="17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40" w:lineRule="exact"/>
              <w:jc w:val="center"/>
              <w:rPr>
                <w:rFonts w:ascii="宋体" w:hAnsi="宋体"/>
                <w:color w:val="000000"/>
                <w:sz w:val="24"/>
              </w:rPr>
            </w:pPr>
          </w:p>
        </w:tc>
        <w:tc>
          <w:tcPr>
            <w:tcW w:w="164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校级（前11-20%）</w:t>
            </w:r>
          </w:p>
        </w:tc>
        <w:tc>
          <w:tcPr>
            <w:tcW w:w="1629"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0.3万元/人</w:t>
            </w:r>
          </w:p>
        </w:tc>
      </w:tr>
      <w:tr w:rsidR="00D57D36" w:rsidRPr="00126350" w:rsidTr="00F50C10">
        <w:trPr>
          <w:jc w:val="center"/>
        </w:trPr>
        <w:tc>
          <w:tcPr>
            <w:tcW w:w="17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line="440" w:lineRule="exact"/>
              <w:jc w:val="center"/>
              <w:rPr>
                <w:rFonts w:ascii="宋体" w:hAnsi="宋体"/>
                <w:color w:val="000000"/>
                <w:sz w:val="24"/>
              </w:rPr>
            </w:pPr>
          </w:p>
        </w:tc>
        <w:tc>
          <w:tcPr>
            <w:tcW w:w="164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校级（前21-30%）</w:t>
            </w:r>
          </w:p>
        </w:tc>
        <w:tc>
          <w:tcPr>
            <w:tcW w:w="1629"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0.1万元/人</w:t>
            </w:r>
          </w:p>
        </w:tc>
      </w:tr>
      <w:tr w:rsidR="00D57D36" w:rsidRPr="00126350" w:rsidTr="00F50C10">
        <w:trPr>
          <w:jc w:val="center"/>
        </w:trPr>
        <w:tc>
          <w:tcPr>
            <w:tcW w:w="1725"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教学质量示范专业</w:t>
            </w:r>
          </w:p>
        </w:tc>
        <w:tc>
          <w:tcPr>
            <w:tcW w:w="1646"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校级</w:t>
            </w:r>
          </w:p>
        </w:tc>
        <w:tc>
          <w:tcPr>
            <w:tcW w:w="1629"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line="440" w:lineRule="exact"/>
              <w:jc w:val="center"/>
              <w:rPr>
                <w:rFonts w:ascii="宋体" w:hAnsi="宋体"/>
                <w:color w:val="000000"/>
                <w:sz w:val="24"/>
              </w:rPr>
            </w:pPr>
            <w:r w:rsidRPr="00126350">
              <w:rPr>
                <w:rFonts w:ascii="宋体" w:hAnsi="宋体"/>
                <w:color w:val="000000"/>
                <w:sz w:val="24"/>
              </w:rPr>
              <w:t>1.0万元/专业</w:t>
            </w:r>
          </w:p>
        </w:tc>
      </w:tr>
    </w:tbl>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第十一条  教学建设与改革成果的奖励范围和标准。</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（一）范围：经学校组织推荐，由教育行政主管部门批准立项建设的教学研究与改革项目，教材、课程、实验室、实践基地建设项目，学科点、学位点和</w:t>
      </w:r>
      <w:r w:rsidRPr="00126350">
        <w:rPr>
          <w:rFonts w:ascii="宋体" w:hAnsi="宋体" w:hint="eastAsia"/>
          <w:color w:val="000000"/>
          <w:sz w:val="24"/>
        </w:rPr>
        <w:lastRenderedPageBreak/>
        <w:t>学科平台建设项目；通过国家工程教育专业认证的本科专业。</w:t>
      </w:r>
    </w:p>
    <w:p w:rsidR="00D57D36" w:rsidRPr="00126350" w:rsidRDefault="00D57D36" w:rsidP="004F55F9">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（二）标准：</w:t>
      </w:r>
    </w:p>
    <w:tbl>
      <w:tblPr>
        <w:tblW w:w="5000" w:type="pct"/>
        <w:jc w:val="center"/>
        <w:tblCellMar>
          <w:left w:w="0" w:type="dxa"/>
          <w:right w:w="0" w:type="dxa"/>
        </w:tblCellMar>
        <w:tblLook w:val="04A0" w:firstRow="1" w:lastRow="0" w:firstColumn="1" w:lastColumn="0" w:noHBand="0" w:noVBand="1"/>
      </w:tblPr>
      <w:tblGrid>
        <w:gridCol w:w="2756"/>
        <w:gridCol w:w="3850"/>
        <w:gridCol w:w="1760"/>
      </w:tblGrid>
      <w:tr w:rsidR="00D57D36" w:rsidRPr="00126350" w:rsidTr="00F50C10">
        <w:trPr>
          <w:jc w:val="center"/>
        </w:trPr>
        <w:tc>
          <w:tcPr>
            <w:tcW w:w="1647"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b/>
                <w:bCs/>
                <w:color w:val="000000"/>
                <w:sz w:val="24"/>
              </w:rPr>
              <w:t>范围</w:t>
            </w: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b/>
                <w:bCs/>
                <w:color w:val="000000"/>
                <w:sz w:val="24"/>
              </w:rPr>
              <w:t>级别</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b/>
                <w:bCs/>
                <w:color w:val="000000"/>
                <w:sz w:val="24"/>
              </w:rPr>
              <w:t>奖励额度</w:t>
            </w:r>
          </w:p>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b/>
                <w:bCs/>
                <w:color w:val="000000"/>
                <w:sz w:val="24"/>
              </w:rPr>
              <w:t>（万元/项）</w:t>
            </w:r>
          </w:p>
        </w:tc>
      </w:tr>
      <w:tr w:rsidR="00D57D36" w:rsidRPr="00126350" w:rsidTr="00F50C10">
        <w:trPr>
          <w:jc w:val="center"/>
        </w:trPr>
        <w:tc>
          <w:tcPr>
            <w:tcW w:w="1647"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教学研究与教学改革类项目</w:t>
            </w: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国家级（立项）</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1.0</w:t>
            </w:r>
          </w:p>
        </w:tc>
      </w:tr>
      <w:tr w:rsidR="00D57D36" w:rsidRPr="00126350" w:rsidTr="00F50C10">
        <w:trPr>
          <w:jc w:val="center"/>
        </w:trPr>
        <w:tc>
          <w:tcPr>
            <w:tcW w:w="164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省部级（立项）</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0.2</w:t>
            </w:r>
          </w:p>
        </w:tc>
      </w:tr>
      <w:tr w:rsidR="00D57D36" w:rsidRPr="00126350" w:rsidTr="00F50C10">
        <w:trPr>
          <w:jc w:val="center"/>
        </w:trPr>
        <w:tc>
          <w:tcPr>
            <w:tcW w:w="1647"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规划教材</w:t>
            </w: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国家级（立项）</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2.0</w:t>
            </w:r>
          </w:p>
        </w:tc>
      </w:tr>
      <w:tr w:rsidR="00D57D36" w:rsidRPr="00126350" w:rsidTr="00F50C10">
        <w:trPr>
          <w:jc w:val="center"/>
        </w:trPr>
        <w:tc>
          <w:tcPr>
            <w:tcW w:w="164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教育部</w:t>
            </w:r>
            <w:proofErr w:type="gramStart"/>
            <w:r w:rsidRPr="00126350">
              <w:rPr>
                <w:rFonts w:ascii="宋体" w:hAnsi="宋体"/>
                <w:color w:val="000000"/>
                <w:sz w:val="24"/>
              </w:rPr>
              <w:t>专业教指委</w:t>
            </w:r>
            <w:proofErr w:type="gramEnd"/>
            <w:r w:rsidRPr="00126350">
              <w:rPr>
                <w:rFonts w:ascii="宋体" w:hAnsi="宋体"/>
                <w:color w:val="000000"/>
                <w:sz w:val="24"/>
              </w:rPr>
              <w:t>或省级（立项）</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1.0</w:t>
            </w:r>
          </w:p>
        </w:tc>
      </w:tr>
      <w:tr w:rsidR="00D57D36" w:rsidRPr="00126350" w:rsidTr="00F50C10">
        <w:trPr>
          <w:jc w:val="center"/>
        </w:trPr>
        <w:tc>
          <w:tcPr>
            <w:tcW w:w="1647"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精品课程、在线开放课程、实验教学示范中心、产学院</w:t>
            </w:r>
            <w:proofErr w:type="gramStart"/>
            <w:r w:rsidRPr="00126350">
              <w:rPr>
                <w:rFonts w:ascii="宋体" w:hAnsi="宋体"/>
                <w:color w:val="000000"/>
                <w:sz w:val="24"/>
              </w:rPr>
              <w:t>研</w:t>
            </w:r>
            <w:proofErr w:type="gramEnd"/>
            <w:r w:rsidRPr="00126350">
              <w:rPr>
                <w:rFonts w:ascii="宋体" w:hAnsi="宋体"/>
                <w:color w:val="000000"/>
                <w:sz w:val="24"/>
              </w:rPr>
              <w:t>合作基地、虚拟仿真实验室（项目）</w:t>
            </w: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国家级（立项）</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3.0</w:t>
            </w:r>
          </w:p>
        </w:tc>
      </w:tr>
      <w:tr w:rsidR="00D57D36" w:rsidRPr="00126350" w:rsidTr="00F50C10">
        <w:trPr>
          <w:jc w:val="center"/>
        </w:trPr>
        <w:tc>
          <w:tcPr>
            <w:tcW w:w="164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省部级（立项）</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1.0</w:t>
            </w:r>
          </w:p>
        </w:tc>
      </w:tr>
      <w:tr w:rsidR="00D57D36" w:rsidRPr="00126350" w:rsidTr="00F50C10">
        <w:trPr>
          <w:jc w:val="center"/>
        </w:trPr>
        <w:tc>
          <w:tcPr>
            <w:tcW w:w="164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校级（验收通过）</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0.2</w:t>
            </w:r>
          </w:p>
        </w:tc>
      </w:tr>
      <w:tr w:rsidR="00D57D36" w:rsidRPr="00126350" w:rsidTr="00F50C10">
        <w:trPr>
          <w:jc w:val="center"/>
        </w:trPr>
        <w:tc>
          <w:tcPr>
            <w:tcW w:w="1647"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国家工程教育专业认证</w:t>
            </w: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全校首批专业（通过认证）</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10.0</w:t>
            </w:r>
          </w:p>
        </w:tc>
      </w:tr>
      <w:tr w:rsidR="00D57D36" w:rsidRPr="00126350" w:rsidTr="00F50C10">
        <w:trPr>
          <w:jc w:val="center"/>
        </w:trPr>
        <w:tc>
          <w:tcPr>
            <w:tcW w:w="164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其他批次专业（通过认证）</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5.0</w:t>
            </w:r>
          </w:p>
        </w:tc>
      </w:tr>
      <w:tr w:rsidR="00D57D36" w:rsidRPr="00126350" w:rsidTr="00F50C10">
        <w:trPr>
          <w:jc w:val="center"/>
        </w:trPr>
        <w:tc>
          <w:tcPr>
            <w:tcW w:w="1647"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“双一流计划”一流学科点</w:t>
            </w: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国家级（立项）</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50.0</w:t>
            </w:r>
          </w:p>
        </w:tc>
      </w:tr>
      <w:tr w:rsidR="00D57D36" w:rsidRPr="00126350" w:rsidTr="00F50C10">
        <w:trPr>
          <w:jc w:val="center"/>
        </w:trPr>
        <w:tc>
          <w:tcPr>
            <w:tcW w:w="1647"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硕士学位点、专业学位点</w:t>
            </w: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国家级（立项）</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5.0</w:t>
            </w:r>
          </w:p>
        </w:tc>
      </w:tr>
      <w:tr w:rsidR="00D57D36" w:rsidRPr="00126350" w:rsidTr="00F50C10">
        <w:trPr>
          <w:jc w:val="center"/>
        </w:trPr>
        <w:tc>
          <w:tcPr>
            <w:tcW w:w="1647" w:type="pct"/>
            <w:vMerge w:val="restar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重点实验室、工程研究中心</w:t>
            </w: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国家级（立项）</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5.0</w:t>
            </w:r>
          </w:p>
        </w:tc>
      </w:tr>
      <w:tr w:rsidR="00D57D36" w:rsidRPr="00126350" w:rsidTr="00F50C10">
        <w:trPr>
          <w:jc w:val="center"/>
        </w:trPr>
        <w:tc>
          <w:tcPr>
            <w:tcW w:w="164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p>
        </w:tc>
        <w:tc>
          <w:tcPr>
            <w:tcW w:w="2301"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省部级（立项）</w:t>
            </w:r>
          </w:p>
        </w:tc>
        <w:tc>
          <w:tcPr>
            <w:tcW w:w="1052"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vAlign w:val="center"/>
            <w:hideMark/>
          </w:tcPr>
          <w:p w:rsidR="00D57D36" w:rsidRPr="00126350" w:rsidRDefault="00D57D36" w:rsidP="00F50C10">
            <w:pPr>
              <w:shd w:val="clear" w:color="auto" w:fill="FFFFFF"/>
              <w:spacing w:after="150" w:line="440" w:lineRule="exact"/>
              <w:jc w:val="center"/>
              <w:rPr>
                <w:rFonts w:ascii="宋体" w:hAnsi="宋体"/>
                <w:color w:val="000000"/>
                <w:sz w:val="24"/>
              </w:rPr>
            </w:pPr>
            <w:r w:rsidRPr="00126350">
              <w:rPr>
                <w:rFonts w:ascii="宋体" w:hAnsi="宋体"/>
                <w:color w:val="000000"/>
                <w:sz w:val="24"/>
              </w:rPr>
              <w:t>2.0</w:t>
            </w:r>
          </w:p>
        </w:tc>
      </w:tr>
    </w:tbl>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（三）学校立项建设的教材、课程、实验室、实践基地建设项目，通过学校项目主管部门组织的验收后核发奖励，其中教材出版奖励根据实际字数参照学术专著奖励标准核发。</w:t>
      </w:r>
    </w:p>
    <w:p w:rsidR="00D57D36" w:rsidRPr="00126350" w:rsidRDefault="00D57D36" w:rsidP="00D57D36">
      <w:pPr>
        <w:snapToGrid w:val="0"/>
        <w:spacing w:line="440" w:lineRule="exact"/>
        <w:jc w:val="center"/>
        <w:rPr>
          <w:rFonts w:ascii="黑体" w:eastAsia="黑体" w:hAnsi="黑体"/>
          <w:color w:val="000000"/>
          <w:sz w:val="30"/>
          <w:szCs w:val="30"/>
        </w:rPr>
      </w:pPr>
      <w:r w:rsidRPr="00126350">
        <w:rPr>
          <w:rFonts w:ascii="黑体" w:eastAsia="黑体" w:hAnsi="黑体" w:hint="eastAsia"/>
          <w:color w:val="000000"/>
          <w:sz w:val="30"/>
          <w:szCs w:val="30"/>
        </w:rPr>
        <w:t>第三章  教学成果奖励的认定和发放</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第十二条 教学成果奖励由我校教职工根据申报年度的各类成果对应的奖励标准提出申请，申请人应当填写《防灾科技学院教学成果奖励申请与认定表》</w:t>
      </w:r>
      <w:r w:rsidRPr="00126350">
        <w:rPr>
          <w:rFonts w:ascii="宋体" w:hAnsi="宋体" w:hint="eastAsia"/>
          <w:color w:val="000000"/>
          <w:sz w:val="24"/>
        </w:rPr>
        <w:lastRenderedPageBreak/>
        <w:t>（见附件），并提供真实、可靠的支撑材料作为依据，经申请人所在单位初审后，提交</w:t>
      </w:r>
      <w:r w:rsidRPr="00126350">
        <w:rPr>
          <w:rFonts w:ascii="宋体" w:hAnsi="宋体" w:hint="eastAsia"/>
          <w:color w:val="FF0000"/>
          <w:sz w:val="24"/>
        </w:rPr>
        <w:t>教学管理部门</w:t>
      </w:r>
      <w:r w:rsidRPr="00126350">
        <w:rPr>
          <w:rFonts w:ascii="宋体" w:hAnsi="宋体" w:hint="eastAsia"/>
          <w:color w:val="000000"/>
          <w:sz w:val="24"/>
        </w:rPr>
        <w:t>复核、认定，并公示五个工作日。</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第十三条 不在上述范围的教学成果的奖励办法和标准采取“一事一议”方式，由教学管理部门提请学校校务会议定。</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第十四条 同</w:t>
      </w:r>
      <w:proofErr w:type="gramStart"/>
      <w:r w:rsidRPr="00126350">
        <w:rPr>
          <w:rFonts w:ascii="宋体" w:hAnsi="宋体" w:hint="eastAsia"/>
          <w:color w:val="000000"/>
          <w:sz w:val="24"/>
        </w:rPr>
        <w:t>一教学</w:t>
      </w:r>
      <w:proofErr w:type="gramEnd"/>
      <w:r w:rsidRPr="00126350">
        <w:rPr>
          <w:rFonts w:ascii="宋体" w:hAnsi="宋体" w:hint="eastAsia"/>
          <w:color w:val="000000"/>
          <w:sz w:val="24"/>
        </w:rPr>
        <w:t>成果获得不同等级的奖励，按最高等级奖励，不重复计算。</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第十五条 教学成果由个人获得的，奖励发放给个人；教学成果由集体获得的，奖励发放给第一负责人，由负责人统筹分配。</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第十六条 教学成果奖励由科技成果转化及技术服务收入统筹支付，不纳入事业单位绩效工资总量。</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第十七条 在教学成果奖励申报过程中，如发现弄虚作假者，追回已发放的奖金，取消连续三年（当年起算）的奖励申请资格，并按照相关规定追究责任。</w:t>
      </w:r>
    </w:p>
    <w:p w:rsidR="00D57D36" w:rsidRPr="00126350" w:rsidRDefault="00D57D36" w:rsidP="00D57D36">
      <w:pPr>
        <w:snapToGrid w:val="0"/>
        <w:spacing w:line="440" w:lineRule="exact"/>
        <w:jc w:val="center"/>
        <w:rPr>
          <w:rFonts w:ascii="黑体" w:eastAsia="黑体" w:hAnsi="黑体"/>
          <w:color w:val="000000"/>
          <w:sz w:val="30"/>
          <w:szCs w:val="30"/>
        </w:rPr>
      </w:pPr>
      <w:r w:rsidRPr="00126350">
        <w:rPr>
          <w:rFonts w:ascii="黑体" w:eastAsia="黑体" w:hAnsi="黑体" w:hint="eastAsia"/>
          <w:color w:val="000000"/>
          <w:sz w:val="30"/>
          <w:szCs w:val="30"/>
        </w:rPr>
        <w:t>第四章 附   则</w:t>
      </w:r>
    </w:p>
    <w:p w:rsidR="00D57D36" w:rsidRPr="00126350"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第十八条 本办法由教务处负责解释。</w:t>
      </w:r>
    </w:p>
    <w:p w:rsidR="00D57D36" w:rsidRPr="00876D85" w:rsidRDefault="00D57D36" w:rsidP="00D57D36">
      <w:pPr>
        <w:shd w:val="clear" w:color="auto" w:fill="FFFFFF"/>
        <w:spacing w:line="440" w:lineRule="exact"/>
        <w:ind w:firstLine="601"/>
        <w:rPr>
          <w:rFonts w:ascii="宋体" w:hAnsi="宋体"/>
          <w:color w:val="000000"/>
          <w:sz w:val="24"/>
        </w:rPr>
      </w:pPr>
      <w:r w:rsidRPr="00126350">
        <w:rPr>
          <w:rFonts w:ascii="宋体" w:hAnsi="宋体" w:hint="eastAsia"/>
          <w:color w:val="000000"/>
          <w:sz w:val="24"/>
        </w:rPr>
        <w:t>第十九条 本办法自公布之日起施行，原《防灾科技学院教学工作奖励条例（试行）》（</w:t>
      </w:r>
      <w:proofErr w:type="gramStart"/>
      <w:r w:rsidRPr="00126350">
        <w:rPr>
          <w:rFonts w:ascii="宋体" w:hAnsi="宋体" w:hint="eastAsia"/>
          <w:color w:val="000000"/>
          <w:sz w:val="24"/>
        </w:rPr>
        <w:t>防科发</w:t>
      </w:r>
      <w:proofErr w:type="gramEnd"/>
      <w:r w:rsidRPr="00126350">
        <w:rPr>
          <w:rFonts w:ascii="宋体" w:hAnsi="宋体" w:hint="eastAsia"/>
          <w:color w:val="000000"/>
          <w:sz w:val="24"/>
        </w:rPr>
        <w:t>教〔2009〕70号）同时废止。</w:t>
      </w:r>
      <w:bookmarkStart w:id="1" w:name="_GoBack"/>
      <w:bookmarkEnd w:id="1"/>
    </w:p>
    <w:p w:rsidR="00653C26" w:rsidRPr="00D57D36" w:rsidRDefault="00653C26"/>
    <w:sectPr w:rsidR="00653C26" w:rsidRPr="00D57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F7C" w:rsidRDefault="00BD5F7C" w:rsidP="004F55F9">
      <w:r>
        <w:separator/>
      </w:r>
    </w:p>
  </w:endnote>
  <w:endnote w:type="continuationSeparator" w:id="0">
    <w:p w:rsidR="00BD5F7C" w:rsidRDefault="00BD5F7C" w:rsidP="004F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F7C" w:rsidRDefault="00BD5F7C" w:rsidP="004F55F9">
      <w:r>
        <w:separator/>
      </w:r>
    </w:p>
  </w:footnote>
  <w:footnote w:type="continuationSeparator" w:id="0">
    <w:p w:rsidR="00BD5F7C" w:rsidRDefault="00BD5F7C" w:rsidP="004F5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36"/>
    <w:rsid w:val="00126350"/>
    <w:rsid w:val="00414876"/>
    <w:rsid w:val="004213FB"/>
    <w:rsid w:val="00422954"/>
    <w:rsid w:val="004F55F9"/>
    <w:rsid w:val="00653C26"/>
    <w:rsid w:val="00BD5F7C"/>
    <w:rsid w:val="00D57D36"/>
    <w:rsid w:val="00D74D8C"/>
    <w:rsid w:val="00E57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D36"/>
    <w:pPr>
      <w:widowControl w:val="0"/>
      <w:jc w:val="both"/>
    </w:pPr>
    <w:rPr>
      <w:rFonts w:ascii="Times New Roman" w:eastAsia="宋体" w:hAnsi="Times New Roman" w:cs="Times New Roman"/>
      <w:szCs w:val="24"/>
    </w:rPr>
  </w:style>
  <w:style w:type="paragraph" w:styleId="1">
    <w:name w:val="heading 1"/>
    <w:basedOn w:val="a"/>
    <w:next w:val="a"/>
    <w:link w:val="1Char"/>
    <w:qFormat/>
    <w:rsid w:val="00D57D3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57D36"/>
    <w:rPr>
      <w:rFonts w:ascii="Times New Roman" w:eastAsia="宋体" w:hAnsi="Times New Roman" w:cs="Times New Roman"/>
      <w:b/>
      <w:bCs/>
      <w:kern w:val="44"/>
      <w:sz w:val="44"/>
      <w:szCs w:val="44"/>
    </w:rPr>
  </w:style>
  <w:style w:type="paragraph" w:styleId="a3">
    <w:name w:val="header"/>
    <w:basedOn w:val="a"/>
    <w:link w:val="Char"/>
    <w:uiPriority w:val="99"/>
    <w:unhideWhenUsed/>
    <w:rsid w:val="004F5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55F9"/>
    <w:rPr>
      <w:rFonts w:ascii="Times New Roman" w:eastAsia="宋体" w:hAnsi="Times New Roman" w:cs="Times New Roman"/>
      <w:sz w:val="18"/>
      <w:szCs w:val="18"/>
    </w:rPr>
  </w:style>
  <w:style w:type="paragraph" w:styleId="a4">
    <w:name w:val="footer"/>
    <w:basedOn w:val="a"/>
    <w:link w:val="Char0"/>
    <w:uiPriority w:val="99"/>
    <w:unhideWhenUsed/>
    <w:rsid w:val="004F55F9"/>
    <w:pPr>
      <w:tabs>
        <w:tab w:val="center" w:pos="4153"/>
        <w:tab w:val="right" w:pos="8306"/>
      </w:tabs>
      <w:snapToGrid w:val="0"/>
      <w:jc w:val="left"/>
    </w:pPr>
    <w:rPr>
      <w:sz w:val="18"/>
      <w:szCs w:val="18"/>
    </w:rPr>
  </w:style>
  <w:style w:type="character" w:customStyle="1" w:styleId="Char0">
    <w:name w:val="页脚 Char"/>
    <w:basedOn w:val="a0"/>
    <w:link w:val="a4"/>
    <w:uiPriority w:val="99"/>
    <w:rsid w:val="004F55F9"/>
    <w:rPr>
      <w:rFonts w:ascii="Times New Roman" w:eastAsia="宋体" w:hAnsi="Times New Roman" w:cs="Times New Roman"/>
      <w:sz w:val="18"/>
      <w:szCs w:val="18"/>
    </w:rPr>
  </w:style>
  <w:style w:type="paragraph" w:styleId="a5">
    <w:name w:val="Balloon Text"/>
    <w:basedOn w:val="a"/>
    <w:link w:val="Char1"/>
    <w:uiPriority w:val="99"/>
    <w:semiHidden/>
    <w:unhideWhenUsed/>
    <w:rsid w:val="004F55F9"/>
    <w:rPr>
      <w:sz w:val="18"/>
      <w:szCs w:val="18"/>
    </w:rPr>
  </w:style>
  <w:style w:type="character" w:customStyle="1" w:styleId="Char1">
    <w:name w:val="批注框文本 Char"/>
    <w:basedOn w:val="a0"/>
    <w:link w:val="a5"/>
    <w:uiPriority w:val="99"/>
    <w:semiHidden/>
    <w:rsid w:val="004F55F9"/>
    <w:rPr>
      <w:rFonts w:ascii="Times New Roman" w:eastAsia="宋体" w:hAnsi="Times New Roman" w:cs="Times New Roman"/>
      <w:sz w:val="18"/>
      <w:szCs w:val="18"/>
    </w:rPr>
  </w:style>
  <w:style w:type="character" w:styleId="a6">
    <w:name w:val="annotation reference"/>
    <w:basedOn w:val="a0"/>
    <w:uiPriority w:val="99"/>
    <w:semiHidden/>
    <w:unhideWhenUsed/>
    <w:rsid w:val="00E5749B"/>
    <w:rPr>
      <w:sz w:val="21"/>
      <w:szCs w:val="21"/>
    </w:rPr>
  </w:style>
  <w:style w:type="paragraph" w:styleId="a7">
    <w:name w:val="annotation text"/>
    <w:basedOn w:val="a"/>
    <w:link w:val="Char2"/>
    <w:uiPriority w:val="99"/>
    <w:semiHidden/>
    <w:unhideWhenUsed/>
    <w:rsid w:val="00E5749B"/>
    <w:pPr>
      <w:jc w:val="left"/>
    </w:pPr>
  </w:style>
  <w:style w:type="character" w:customStyle="1" w:styleId="Char2">
    <w:name w:val="批注文字 Char"/>
    <w:basedOn w:val="a0"/>
    <w:link w:val="a7"/>
    <w:uiPriority w:val="99"/>
    <w:semiHidden/>
    <w:rsid w:val="00E5749B"/>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E5749B"/>
    <w:rPr>
      <w:b/>
      <w:bCs/>
    </w:rPr>
  </w:style>
  <w:style w:type="character" w:customStyle="1" w:styleId="Char3">
    <w:name w:val="批注主题 Char"/>
    <w:basedOn w:val="Char2"/>
    <w:link w:val="a8"/>
    <w:uiPriority w:val="99"/>
    <w:semiHidden/>
    <w:rsid w:val="00E5749B"/>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D36"/>
    <w:pPr>
      <w:widowControl w:val="0"/>
      <w:jc w:val="both"/>
    </w:pPr>
    <w:rPr>
      <w:rFonts w:ascii="Times New Roman" w:eastAsia="宋体" w:hAnsi="Times New Roman" w:cs="Times New Roman"/>
      <w:szCs w:val="24"/>
    </w:rPr>
  </w:style>
  <w:style w:type="paragraph" w:styleId="1">
    <w:name w:val="heading 1"/>
    <w:basedOn w:val="a"/>
    <w:next w:val="a"/>
    <w:link w:val="1Char"/>
    <w:qFormat/>
    <w:rsid w:val="00D57D3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57D36"/>
    <w:rPr>
      <w:rFonts w:ascii="Times New Roman" w:eastAsia="宋体" w:hAnsi="Times New Roman" w:cs="Times New Roman"/>
      <w:b/>
      <w:bCs/>
      <w:kern w:val="44"/>
      <w:sz w:val="44"/>
      <w:szCs w:val="44"/>
    </w:rPr>
  </w:style>
  <w:style w:type="paragraph" w:styleId="a3">
    <w:name w:val="header"/>
    <w:basedOn w:val="a"/>
    <w:link w:val="Char"/>
    <w:uiPriority w:val="99"/>
    <w:unhideWhenUsed/>
    <w:rsid w:val="004F5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55F9"/>
    <w:rPr>
      <w:rFonts w:ascii="Times New Roman" w:eastAsia="宋体" w:hAnsi="Times New Roman" w:cs="Times New Roman"/>
      <w:sz w:val="18"/>
      <w:szCs w:val="18"/>
    </w:rPr>
  </w:style>
  <w:style w:type="paragraph" w:styleId="a4">
    <w:name w:val="footer"/>
    <w:basedOn w:val="a"/>
    <w:link w:val="Char0"/>
    <w:uiPriority w:val="99"/>
    <w:unhideWhenUsed/>
    <w:rsid w:val="004F55F9"/>
    <w:pPr>
      <w:tabs>
        <w:tab w:val="center" w:pos="4153"/>
        <w:tab w:val="right" w:pos="8306"/>
      </w:tabs>
      <w:snapToGrid w:val="0"/>
      <w:jc w:val="left"/>
    </w:pPr>
    <w:rPr>
      <w:sz w:val="18"/>
      <w:szCs w:val="18"/>
    </w:rPr>
  </w:style>
  <w:style w:type="character" w:customStyle="1" w:styleId="Char0">
    <w:name w:val="页脚 Char"/>
    <w:basedOn w:val="a0"/>
    <w:link w:val="a4"/>
    <w:uiPriority w:val="99"/>
    <w:rsid w:val="004F55F9"/>
    <w:rPr>
      <w:rFonts w:ascii="Times New Roman" w:eastAsia="宋体" w:hAnsi="Times New Roman" w:cs="Times New Roman"/>
      <w:sz w:val="18"/>
      <w:szCs w:val="18"/>
    </w:rPr>
  </w:style>
  <w:style w:type="paragraph" w:styleId="a5">
    <w:name w:val="Balloon Text"/>
    <w:basedOn w:val="a"/>
    <w:link w:val="Char1"/>
    <w:uiPriority w:val="99"/>
    <w:semiHidden/>
    <w:unhideWhenUsed/>
    <w:rsid w:val="004F55F9"/>
    <w:rPr>
      <w:sz w:val="18"/>
      <w:szCs w:val="18"/>
    </w:rPr>
  </w:style>
  <w:style w:type="character" w:customStyle="1" w:styleId="Char1">
    <w:name w:val="批注框文本 Char"/>
    <w:basedOn w:val="a0"/>
    <w:link w:val="a5"/>
    <w:uiPriority w:val="99"/>
    <w:semiHidden/>
    <w:rsid w:val="004F55F9"/>
    <w:rPr>
      <w:rFonts w:ascii="Times New Roman" w:eastAsia="宋体" w:hAnsi="Times New Roman" w:cs="Times New Roman"/>
      <w:sz w:val="18"/>
      <w:szCs w:val="18"/>
    </w:rPr>
  </w:style>
  <w:style w:type="character" w:styleId="a6">
    <w:name w:val="annotation reference"/>
    <w:basedOn w:val="a0"/>
    <w:uiPriority w:val="99"/>
    <w:semiHidden/>
    <w:unhideWhenUsed/>
    <w:rsid w:val="00E5749B"/>
    <w:rPr>
      <w:sz w:val="21"/>
      <w:szCs w:val="21"/>
    </w:rPr>
  </w:style>
  <w:style w:type="paragraph" w:styleId="a7">
    <w:name w:val="annotation text"/>
    <w:basedOn w:val="a"/>
    <w:link w:val="Char2"/>
    <w:uiPriority w:val="99"/>
    <w:semiHidden/>
    <w:unhideWhenUsed/>
    <w:rsid w:val="00E5749B"/>
    <w:pPr>
      <w:jc w:val="left"/>
    </w:pPr>
  </w:style>
  <w:style w:type="character" w:customStyle="1" w:styleId="Char2">
    <w:name w:val="批注文字 Char"/>
    <w:basedOn w:val="a0"/>
    <w:link w:val="a7"/>
    <w:uiPriority w:val="99"/>
    <w:semiHidden/>
    <w:rsid w:val="00E5749B"/>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E5749B"/>
    <w:rPr>
      <w:b/>
      <w:bCs/>
    </w:rPr>
  </w:style>
  <w:style w:type="character" w:customStyle="1" w:styleId="Char3">
    <w:name w:val="批注主题 Char"/>
    <w:basedOn w:val="Char2"/>
    <w:link w:val="a8"/>
    <w:uiPriority w:val="99"/>
    <w:semiHidden/>
    <w:rsid w:val="00E5749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468</Words>
  <Characters>2674</Characters>
  <Application>Microsoft Office Word</Application>
  <DocSecurity>0</DocSecurity>
  <Lines>22</Lines>
  <Paragraphs>6</Paragraphs>
  <ScaleCrop>false</ScaleCrop>
  <Company>china</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夏京</dc:creator>
  <cp:lastModifiedBy>夏京</cp:lastModifiedBy>
  <cp:revision>3</cp:revision>
  <cp:lastPrinted>2018-12-13T03:31:00Z</cp:lastPrinted>
  <dcterms:created xsi:type="dcterms:W3CDTF">2018-11-01T06:52:00Z</dcterms:created>
  <dcterms:modified xsi:type="dcterms:W3CDTF">2018-12-14T02:29:00Z</dcterms:modified>
</cp:coreProperties>
</file>